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303</w:t>
      </w:r>
    </w:p>
    <w:p>
      <w:r>
        <w:t>Bundesgericht (BGE), 2019-05-21, DE</w:t>
      </w:r>
    </w:p>
    <w:p>
      <w:r>
        <w:rPr>
          <w:b/>
        </w:rPr>
        <w:t xml:space="preserve">Quelle: </w:t>
      </w:r>
      <w:r>
        <w:t>https://mcp.opencaselaw.ch/entscheid/bge_145 III 303</w:t>
      </w:r>
    </w:p>
    <w:p>
      <w:r>
        <w:t>FR: ATF 145 III 303</w:t>
      </w:r>
    </w:p>
    <w:p>
      <w:r>
        <w:t>IT: DTF 145 III 303</w:t>
      </w:r>
    </w:p>
    <w:p>
      <w:pPr>
        <w:pStyle w:val="Heading2"/>
      </w:pPr>
      <w:r>
        <w:t>Regeste</w:t>
      </w:r>
    </w:p>
    <w:p>
      <w:r>
        <w:t>Regeste Art. 5 Ziff. 3 des Lugano-Übereinkommens (LugÜ). Internationale und örtliche Zuständigkeit bei negativer Feststellungsklage; Handlungsort bei kartellrechtlichen Ansprüchen aufgrund der Einführung und Umsetzung eines selektiven Vertriebssystems in einem Konzern. Ist ein Gerichtsstand aufgrund des Handlungs- oder Erfolgsorts identifiziert, bleibt kein Raum für eine einzelfallbezogene Prüfung der Sach- und Beweisnähe (Änderung der Rechtsprechung; E. 4.1). Der negative Feststellungskläger kann sich ebenso auf die Wahlgerichtsstände gemäss Art. 5 Ziff. 3 LugÜ berufen wie der Leistungskläger unabhängig davon, ob eine spiegelbildliche Leistungsklage gestützt auf Art. 5 Ziff. 3 LugÜ am angerufenen Gericht ebenfalls möglich wäre (Präzisierung der Rechtsprechung; E. 4.2). Bilden bei der missbräuchlichen Ausnutzung einer marktbeherrschenden Stellung die zur praktischen Umsetzung nötigen Handlungen Teil einer gemeinsamen Strategie, ist zur Bestimmung des Handlungsorts i.S.v. Art. 5 Ziff. 3 LugÜ das Ereignis zu ermitteln, dem eine besonders grosse Bedeutung zukommt. Anwendung im konkreten Fall (E. 7).</w:t>
      </w:r>
    </w:p>
    <w:p>
      <w:pPr>
        <w:pStyle w:val="Heading2"/>
      </w:pPr>
      <w:r>
        <w:t>Erwägungen</w:t>
      </w:r>
    </w:p>
    <w:p>
      <w:r>
        <w:rPr>
          <w:b/>
        </w:rPr>
        <w:t>E. 4</w:t>
      </w:r>
    </w:p>
    <w:p>
      <w:r>
        <w:t>Es ist unbestritten, dass sich die Frage der internationalen Zuständigkeit nach den Bestimmungen des Lugano-Übereinkommens (SR 0.275.12) beurteilt. Unbestritten ist auch, dass unter den Begriff der unerlaubten Handlung im Sinn von Art. 5 Ziff. 3 LugÜ auch Ansprüche fallen, welche auf Widerhandlungen gegen das Kartellrecht basieren. Es kann auf die allgemeinen Ausführungen der Vorinstanz verwiesen werden. Art. 5 Ziff. 3 LugÜ eröffnet dem Kläger bei Distanzdelikten die Wahl zwischen dem Handlungs- und dem Erfolgsort ( BGE 133 III 282 E. 4.1 S. 289 f.; BGE 132 III 778 E. 3 S. 783 f.; je mit weiteren Hinweisen; HOFMANN/KUNZ, in: Basler Kommentar, Lugano-Übereinkommen, 2. Aufl. 2016, N. 553 zu Art. 5 LugÜ , mit umfassenden Hinweisen). Die Klägerin 1 berief sich auf Biel als Handlungsort, da an ihrem Hauptsitz die entsprechenden Beschlüsse gefasst worden seien.</w:t>
      </w:r>
    </w:p>
    <w:p>
      <w:r>
        <w:rPr>
          <w:b/>
        </w:rPr>
        <w:t>E. 4.1</w:t>
      </w:r>
    </w:p>
    <w:p>
      <w:r>
        <w:t>Der Deliktsgerichtsstand nach Art. 5 Ziff. 3 LugÜ steht grundsätzlich auch dem angeblichen Schädiger für eine negative Feststellungsklage zur Verfügung ( BGE 133 III 282 E. 4.1 S. 290; Urteil des EuGH vom 25. Oktober 2012 C-133/11 Folien Fischer und Fofitec , Randnr. 54). Die Beklagte macht aber geltend, in BGE 133 III 282 sei als zusätzliches Erfordernis eine Sach- und Beweisnähe des angerufenen Gerichts im konkreten Fall verlangt worden. Daran fehle es hier.</w:t>
      </w:r>
    </w:p>
    <w:p>
      <w:r>
        <w:rPr>
          <w:b/>
        </w:rPr>
        <w:t>E. 4.1.1</w:t>
      </w:r>
    </w:p>
    <w:p>
      <w:r>
        <w:t>Die Vorinstanz erwog, angesichts der Kritik in der Lehre zu diesem zusätzlichen Erfordernis und des seither ergangenen Urteils Folien Fischer und Fofitec könne die Zuständigkeit nicht vom Kriterium der Sach- und Beweisnähe abhängen.</w:t>
      </w:r>
    </w:p>
    <w:p>
      <w:r>
        <w:rPr>
          <w:b/>
        </w:rPr>
        <w:t>E. 4.1.2</w:t>
      </w:r>
    </w:p>
    <w:p>
      <w:r>
        <w:t>Das Bundesgericht gewährte dem potentiellen Schädiger in BGE 133 III 282 das Wahlrecht zwischen Handlungs- und Erfolgsort nur, sofern er es nicht zweckwidrig ausübe, um die Zuständigkeit eines Gerichts zu begründen, dem die notwendige Beweis- und BGE 145 III 303 S. 307 Sachnähe abgehe ( BGE 133 III 282 E. 4.5 S. 291 f.). Es hielt fest, die Wahlgerichtsstände nach Art. 5 Ziff. 3 LugÜ stünden aus Zweckmässigkeitsüberlegungen zur Verfügung ( BGE 133 III 282 E. 4.3 S. 291). Hinzu komme, dass der potentielle Schädiger, der bei der negativen Feststellungsklage das Wahlrecht ausübe, durch geschickte Planung der Tat und damit des Handlungsorts für die nachfolgende negative Feststellungsklage einen dem Geschädigten möglichst ungünstigen Gerichtsstand sichern könne ( BGE 133 III 282 E. 4.5 S. 291 f.). Es erwog, namentlich unter Hinweis auf einen früheren Entscheid ( BGE 125 III 346 E. 4b S. 349 mit Hinweis) und eine Lehrmeinung (GION JEGHER, Abwehrmassnahmen gegen ausländische Prozesse im internationalen Zivilverfahrensrecht der Schweiz, 2003, S. 68), das Erfordernis der Beweis- und Sachnähe beinhalte auch nicht eine verdeckte Einführung des "forum non conveniens"-Tests, der für die Zuständigkeitsordnung des Lugano-Übereinkommens verworfen worden sei, sondern garantiere lediglich, dass der Schädiger von der Wahlmöglichkeit nach Art. 5 Ziff. 3 LugÜ keinen zweckwidrigen Gebrauch mache, um dem Geschädigten die Rechtsverfolgung zu erschweren ( BGE 133 III 282 E. 4.6 S. 292 mit Hinweisen). In der Lehre wird BGE 133 III 282 überwiegend kritisch beurteilt (TANJA DOMEJ, Negative Feststellungsklagen im Deliktsgerichtsstand, Praxis des Internationalen Privat- und Verfahrensrechts [IPRax] 2008 S. 550 ff.; TARKAN GÖKSU, Negative Feststellungsklage: ausgewählte Aspekte und neuere Entwicklung, ZZZ 2008/09 S. 175 ff., 182 f.; FRIDOLIN WALTHER, Die Rechtsprechung des Bundesgerichts zum Zivilprozessrecht im Jahre 2007, 2. Teil: Internationales Zivilprozessrecht, ZBJV 145/2009 S. 357 ff., 360; BENDICHT LÜTHI, System der internationalen Zuständigkeit im Immaterialgüterrecht, 2011, S. 130 ff.; PAUL OBERHAMMER, in: Lugano-Übereinkommen, Dasser/Oberhammer [Hrsg.], 2. Aufl. 2011, N. 102 zu Art. 5 LugÜ und bei Fn. 261; HOFMANN/KUNZ, a.a.O., N. 15 und 534 zu Art. 5 LugÜ ; KROPHOLLER/VON HEIN, Europäisches Zivilprozessrecht, 9. Aufl. 2011, N. 78 zu Art. 5 EuGVO und bei Fn. 473; NINO SIEVI, Die negativen Feststellungsklagen des schweizerischen Rechts im Anwendungsbereich des Lugano-Übereinkommens, 2017, S. 169 ff. Rz. 448 ff. Allgemein i.d.S. vgl. auch: WOLDE/KNOT/WELLER, in: unalex Kommentar, Brüssel I-Verordnung, 2012, N. 18 zu Art. 5 Nr. 3 EuGVVO). Es wurde namentlich eingewendet, die Prüfung der Sach- und Beweisnähe im Einzelfall führe zu Rechtsunsicherheit, denn der Entscheid darüber beruhe weitgehend auf Wertungen und BGE 145 III 303 S. 308 Würdigungen. Gerade das Zuständigkeitsrecht sollte aber klare Lösungen bereithalten. Die Rechtsprechung des EuGH argumentiere mit dem Zweck der Sach- und Beweisnähe allgemein, aber nicht im Hinblick auf den Einzelfall. Trotz verbaler Distanzierung laufe das Erfordernis gemäss der bundesgerichtlichen Rechtsprechung auf einen verdeckten "forum non conveniens"-Test hinaus. Zu Recht verweist die Vorinstanz sodann darauf, dass der EuGH im nach BGE 133 III 282 ergangenen Urteil Folien Fischer und Fofitec die Anwendbarkeit von Art. 5 Nr. 3 der Verordnung (EG) Nr. 44/2001 des Rates vom 22. Dezember 2000 über die gerichtliche Zuständigkeit und die Anerkennung und Vollstreckung von Entscheidungen in Zivil- und Handelssachen (ABl. L 12 vom 16. Januar 2001 S. 1 ff.; nachfolgend: EuGVO) für negative Feststellungsklagen am Handlungs- oder Erfolgsort uneingeschränkt bejaht hat (Urteil Folien Fischer und Fofitec , Randnrn. 51 f.). Die Lehre geht deshalb davon aus, die bundesgerichtliche Einschränkung des Deliktsgerichtsstands lasse sich umso weniger rechtfertigen (BENDICHT LÜTHI, EuGH konkretisiert Deliktszuständigkeit bei Markenrechtsverletzungen mittels AdWords, sic! 4/2013 S. 212 ff., 220; MATHIS PETER, Negative Feststellungsklagen am Deliktsgerichtsstand von Art. 5 Nr. 3 EuGVVO/ LugÜ, Jusletter 12. August 2013 S. 5 f. Rz. 15; LAURENT KILLIAS, Rechtsprechung zum Lugano-Übereinkommen [2012], SZIER 2013 S. 671 ff., 688 ff. Rz. 18; ALEXANDER R. MARKUS, Internationales Zivilprozessrecht, 2014, S. 244 f. Rz. 894 f.).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144 III 175 E. 2 S. 177 f. mit Hinweisen). Diese Voraussetzungen sind nach dem oben Dargelegten erfüllt. Am zusätzlichen Erfordernis der Sach- und Beweisnähe zur Einschränkung des aufgrund des Handlungs- oder Erfolgsorts grundsätzlich gegebenen Gerichtsstands im Einzelfall ist nicht festzuhalten. Ist ein Handlungs- oder Erfolgsort identifiziert, bleibt somit kein Raum mehr für eine einzelfallbezogene Prüfung der Sach- und Beweisnähe. BGE 145 III 303 S. 309</w:t>
      </w:r>
    </w:p>
    <w:p>
      <w:r>
        <w:rPr>
          <w:b/>
        </w:rPr>
        <w:t>E. 4.2</w:t>
      </w:r>
    </w:p>
    <w:p>
      <w:r>
        <w:t>Die Beklagte rügt eine Verletzung des sog. Spiegelbildprinzips, wie es sich aus der bundesgerichtlichen Rechtsprechung ergebe.</w:t>
      </w:r>
    </w:p>
    <w:p>
      <w:r>
        <w:rPr>
          <w:b/>
        </w:rPr>
        <w:t>E. 4.2.1</w:t>
      </w:r>
    </w:p>
    <w:p>
      <w:r>
        <w:t>Sie beruft sich hierfür auf BGE 133 III 282 E. 4 S. 289, wo ausgeführt wurde: "Die Klage auf Feststellung, dass die Klägerin für den von den Beklagten zum Ersatz beanspruchten Schaden nicht hafte, betrifft im Lichte von Art. 21 [a]LugÜ [ Art. 27 LugÜ ] denselben Anspruch wie die spiegelbildliche Klage der Gegenpartei auf Feststellung, dass die Klägerin für diesen Schaden hafte. Daher ist die negative Feststellungsklage, sofern der besondere Gerichtsstand von Art. 5 Ziff. 3 [a]LugÜ [ Art. 5 Ziff. 3 LugÜ ] gewählt wird, dort anzubringen, wo der bestrittene Anspruch nach Massgabe dieser Bestimmung auf positive Leistungsklage hin zu beurteilen wäre ( BGE 125 III 346 E. 4b S. 349 mit Hinweisen)." Der Wortlaut dieser Erwägung sei unmissverständlich und lasse unter Art. 5 Ziff. 3 LugÜ eine negative Feststellungsklage nur dort zu, wo umgekehrt gestützt auf dieselbe Bestimmung auch eine positive Leistungsklage erhoben werden könnte. Unbestritten ist, dass die Beklagte in der Schweiz nicht gegen die Klägerin 1 gestützt auf Art. 5 Ziff. 3 LugÜ hätte klagen können, weil der behauptete Handlungsort mit dem Sitz der Klägerin 1 zusammenfällt - beide befinden sich in der Schweiz. Art. 5 LugÜ ist nach seinem Einleitungssatz nur anwendbar, wenn die Beklagte ausserhalb ihres Sitzstaates (d.h. ausserhalb des allgemeinen Gerichtsstands) verklagt wird. Die Beklagte ist der Ansicht, da eine Leistungsklage nicht nach Art. 5 Ziff. 3 LugÜ in der Schweiz hätte eingereicht werden können, entfalle nach dem Spiegelbildprinzip auch ein Gerichtsstand nach derselben Bestimmung ( Art. 5 LugÜ ) für die negative Feststellungsklage der Klägerin 1 in der Schweiz.</w:t>
      </w:r>
    </w:p>
    <w:p>
      <w:r>
        <w:rPr>
          <w:b/>
        </w:rPr>
        <w:t>E. 4.2.2</w:t>
      </w:r>
    </w:p>
    <w:p>
      <w:r>
        <w:t>Die Klägerin 1 hält demgegenüber dafür, bei der zitierten bundesgerichtlichen Rechtsprechung sei es einzig darum gegangen, dass der (behauptete) Schädiger über Art. 5 Ziff. 3 LugÜ keinen anderen Gerichtsstand geltend machen könne, als dem (behaupteten) Geschädigten für eine spiegelbildliche Leistungsklage zur Verfügung stünde. Vorliegend sei aber unbestritten, dass die Beklagte die Klägerin 1 und ihre Tochtergesellschaften mit einer Leistungsklage vor der Vorinstanz einklagen könnte; dies zwar aufgrund seines Einleitungssatzes nicht nach Art. 5 Ziff. 3 LugÜ , aber alle Klägerinnen zusammen als passive Streitgenossenschaft gemäss Art. 6 Ziff. 1 LugÜ und alternativ die Klägerinnen 1 und 2 aufgrund ihres Wohnsitzes gemäss Art. 2 Ziff. 1 LugÜ i.V.m. Art. 129 sowie Art. 8a IPRG (SR 291) sowie schliesslich die Klägerin 3 mit Sitz im Vereinigten Königreich am Handlungsort gestützt auf Art. 5 Ziff. 3 LugÜ . BGE 145 III 303 S. 310</w:t>
      </w:r>
    </w:p>
    <w:p>
      <w:r>
        <w:rPr>
          <w:b/>
        </w:rPr>
        <w:t>E. 4.2.3</w:t>
      </w:r>
    </w:p>
    <w:p>
      <w:r>
        <w:t>Die Formulierung in BGE 133 III 282 und BGE 125 III 346 ist missverständlich. Wäre sie so zu verstehen, wie von der Beklagten geltend gemacht, hätte in beiden Fällen allein schon deswegen nicht auf die negative Feststellungsklage eingetreten werden dürfen, weil die Feststellungskläger ihren Sitz bzw. Wohnsitz in der Schweiz hatten und es deshalb den vermeintlich geschädigten ausländischen Parteien nicht möglich gewesen wäre, gestützt auf Art. 5 Ziff. 3 LugÜ in der Schweiz am angeblichen Deliktsort zu klagen (i.d.S. kritisch [Ausführungen des Bundesgerichts sind "widersprüchlich"]: HOLZER/JOSI, Die negative Feststellungsklage im schweizerischen Patentprozess: Feststellungsinteresse, Gerichtsstand und Streitgegenstand in internationalen, euro-internationalen sowie nationalen Verhältnissen, GRUR International 2009 S. 577 ff., 583). Das Bundesgericht stützte sich jedoch in beiden Entscheiden nicht auf diese Überlegung, sondern verneinte die Zuständigkeit des schweizerischen Gerichts wegen der fehlenden Sach- und Beweisnähe ( BGE 133 III 282 E. 4.5 S. 291 f.; vgl. dazu hiervor E. 4.1) bzw. bestätigte die Zuständigkeit der zürcherischen Gerichte am Handlungsort ( BGE 125 III 346 E. 4c/bb S. 351 f.). Bei der erstmaligen Formulierung in BGE 125 III 346 E. 4b S. 349 bezog sich das Bundesgericht im Übrigen auf Lehrmeinungen, die alle ohne Einschränkung festhalten, dass auch eine negative Feststellungsklage am Deliktsort möglich ist, wie die Vorinstanz zutreffend erwähnt. Dass das Verständnis der Beklagten nicht zutrifft, wird schliesslich auch durch BGE 132 III 778 bestätigt, wo die fehlende Zuständigkeit der schweizerischen Gerichte für eine auf Art. 5 Ziff. 3 LugÜ gestützte Feststellungsklage ebenfalls nicht mit dem Sitz der Klägerinnen in der Schweiz begründet wurde, sondern mit dem mangels Sach- und Beweisnähe nicht gegebenen Handlungsort in der Schweiz; und dies obwohl die Vorinstanz ihr Nichteintreten mit dem Sitz der Feststellungsklägerinnen in der Schweiz begründet hatte ( BGE 132 III 778 Sachverhalt lit. C. und E. 3 S. 783 f.). Mit der von der Beklagten zitierten etwas unklaren Formulierung sollte einzig gesagt werden, der Feststellungskläger könne sich ebenso auf die Wahlgerichtsstände gemäss Art. 5 Ziff. 3 LugÜ berufen wie der Leistungskläger. Entsprechend bezog sich das Bundesgericht in BGE 125 III 346 E. 4b S. 349 auf das Urteil des EuGH vom 6. Dezember 1994 C-406/92 Tatry/Maciej Rataj , Slg. 1994 I-05439. In diesem Entscheid ging es einzig um die Feststellung, dass kein Unterschied zwischen der negativen Feststellungsklage und der Leistungsklage besteht (Urteil Tatry/Maciej Rataj , Randnr. 45). Mit dem Urteil BGE 145 III 303 S. 311 Folien Fischer und Fofitec , das sich in Randnr. 49 ebenfalls auf das Urteil Tatry/Maciej Rataj berief, hat der EuGH nun in diesem Sinn bestätigt, dass die negative Feststellungsklage den gleichen Anspruch oder Streitgegenstand betrifft wie die Leistungsklage und sich der Feststellungskläger ebenso wie der Leistungskläger auf die Wahlgerichtsstände am Handlungs- oder Erfolgsort berufen kann. Dies ist namentlich auch nicht deshalb ausgeschlossen, weil die Interessen bzw. der Schutz des Geschädigten im Vergleich zu jenen des angeblichen Schädigers dies erfordern würden (Urteil Folien Fischer und Fofitec , Randnrn. 41 ff.). In richtiger Lesart knüpft daher der Einleitungssatz zu Art. 5 LugÜ an die formelle Parteirolle an. Liegt der nach Art. 5 LugÜ bestimmte Gerichtsstand am Sitz des formell Beklagten, so kann die Zuständigkeit nicht mittels Art. 5 LugÜ begründet werden, diesfalls ergibt sich die internationale Zuständigkeit aus Art. 2 LugÜ ( BGE 131 III 76 E. 3 S. 81; Urteil 4A_224/ 2013 vom 7. November 2013 E. 2.1). Eine negative Feststellungsklage könnte daher nicht im Sitzstaat der Feststellungsbeklagten gestützt auf Art. 5 Ziff. 3 LugÜ eingereicht werden, auch wenn diese dort umgekehrt gestützt auf Art. 5 Ziff. 3 LugÜ eine Leistungsklage gegen den vermeintlichen Schädiger erheben könnte (ebenso: HOLZER/ JOSI, a.a.O., S. 583).</w:t>
      </w:r>
    </w:p>
    <w:p>
      <w:r>
        <w:rPr>
          <w:b/>
        </w:rPr>
        <w:t>E. 4.3</w:t>
      </w:r>
    </w:p>
    <w:p>
      <w:r>
        <w:t>Die Vorinstanz hat daher ihre internationale und örtliche Zuständigkeit für die Klage in Bezug auf die Klägerin 1 zu Recht bejaht. Die Beschwerde im Verfahren 4A_446/2018 ist abzuweisen. Verfahren 4A_448/2018</w:t>
      </w:r>
    </w:p>
    <w:p>
      <w:r>
        <w:rPr>
          <w:b/>
        </w:rPr>
        <w:t>E. 5</w:t>
      </w:r>
    </w:p>
    <w:p>
      <w:r>
        <w:t>Umstritten ist, ob auch für die Klägerinnen 2 und 3 die internationale bzw. örtliche Zuständigkeit gegeben ist. Die Vorinstanz bejahte in ihrem ersten Entscheid vom 26. Juni 2017 in einem obiter dictum einen Handlungsort in Biel für alle drei Klägerinnen. Im nun angefochtenen Entscheid verneint sie dies. Sie erwog, bei mehreren Beteiligten sei der Handlungsort nur dort gegeben, wo der jeweilige Schädiger selber gehandelt habe. Eine wechselseitige Zurechnung der jeweiligen Handlungen sei ebenfalls abzulehnen für das Verhältnis von Kartellanten untereinander sowie für Gesellschaften in einem Konzernverbund. Als zuständigkeitsbegründende Handlung würden die Klägerinnen den Beschluss der Erweiterten Konzernleitung in Biel zur Einführung eines selektiven Vertriebssystems erachten. Inwiefern aber auch die beiden Tochtergesellschaften an der Beschlussfassung in Biel unmittelbar beteiligt gewesen seien und somit dort gehandelt hätten, werde von den Klägerinnen nicht dargelegt und sei auch nicht ersichtlich. Damit sei davon auszugehen, BGE 145 III 303 S. 312 nur die Muttergesellschaft (die Klägerin 1) selbst habe in Biel gehandelt. Die beiden Tochtergesellschaften hätten zwar in der Folge den Beschluss der Konzernleitung umgesetzt und sich damit an der behaupteten unerlaubten Handlung beteiligt. Allerdings ergebe sich auch bei dieser Betrachtungsweise keine Handlungsortzuständigkeit in Biel, da sie den Beschluss der Konzernleitung an ihrem jeweiligen Sitz in Grenchen bzw. in London nur umgesetzt hätten. Auch aus Art. 6 Ziff. 1 LugÜ könnten die Klägerinnen 2 und 3 nichts für sich ableiten, da diese Bestimmung nur die passive Streitgenossenschaft regle. Schliesslich befinde sich der Erfolgsort im Vereinigten Königreich, sodass sich auch daraus keine Zuständigkeit in der Schweiz ergebe. (...)</w:t>
      </w:r>
    </w:p>
    <w:p>
      <w:r>
        <w:rPr>
          <w:b/>
        </w:rPr>
        <w:t>E. 7</w:t>
      </w:r>
    </w:p>
    <w:p>
      <w:r>
        <w:t>Handeln mehrere Personen (insbesondere bei gemeinsamem Zusammenwirken), stellen sich hinsichtlich des Handlungsorts zwei Fragen. Einerseits: Wo ist bzw. sind aufgrund der tatsächlichen Handlungen mehrerer Personen der Handlungsort bzw. die Handlungsorte zu lokalisieren? Und andererseits: Ist die durch eine Person vorgenommene Handlung den anderen Personen zuständigkeitsbegründend zurechenbar (LÜTHI, a.a.O., S. 649 Rz. 779)?</w:t>
      </w:r>
    </w:p>
    <w:p>
      <w:r>
        <w:rPr>
          <w:b/>
        </w:rPr>
        <w:t>E. 7.1</w:t>
      </w:r>
    </w:p>
    <w:p>
      <w:r>
        <w:t>Im Stadium der Prüfung der internationalen Zuständigkeit prüft das Gericht nicht die Begründetheit der Klage, sondern ermittelt nur die Anknüpfungspunkte mit dem Staat des Gerichtsstands, die seine Zuständigkeit nach Art. 5 Ziff. 3 LugÜ rechtfertigen (Urteil des EuGH vom 5. Juli 2018 C-27/17 flyLAL-Lithuanian Airlines [im Folgenden: flyLAL ], Randnr. 54 mit Hinweis; Urteil Folien Fischer und Fofitec , Randnr. 50).</w:t>
      </w:r>
    </w:p>
    <w:p>
      <w:r>
        <w:rPr>
          <w:b/>
        </w:rPr>
        <w:t>E. 7.2</w:t>
      </w:r>
    </w:p>
    <w:p>
      <w:r>
        <w:t>Handlungsort gemäss Art. 5 Ziff. 3 LugÜ ist der Ort des ursächlichen Geschehens.</w:t>
      </w:r>
    </w:p>
    <w:p>
      <w:r>
        <w:rPr>
          <w:b/>
        </w:rPr>
        <w:t>E. 7.2.1</w:t>
      </w:r>
    </w:p>
    <w:p>
      <w:r>
        <w:t>Gemäss dem Urteil des EuGH vom 21. Mai 2015 C-352/13 CDC Hydrogen Peroxide , auf welches sich die Vorinstanz berief, sei der Handlungsort einerseits abstrakt der Gründungsort des Kartells (Randnrn. 44 und 50) oder - wenn dieser Ort nicht bestimmt werden könne, weil eine Vielzahl von Kartellvereinbarungen getroffen worden seien - der Ort, wo eine spezifische Vereinbarung getroffen worden sei, die für sich allein das ursächliche Geschehen für den einem Dritten angeblich verursachten Schaden gebildet habe (Urteil CDC Hydrogen Peroxide , Randnrn. 46 und 50). An diesen so bestimmten Handlungsorten könnten alle angeblichen Schädiger BGE 145 III 303 S. 313 eingeklagt werden (Urteil CDC Hydrogen Peroxide , Randnrn 48 f.). Der EuGH bejahte somit eine zuständigkeitsbegründende Handlungsortzurechnung für angebliche Schädiger, die am betreffenden Ort nicht gehandelt haben. Der besagte Entscheid betraf ein (horizontales) Kartell. Vorliegend handelt es sich demgegenüber um ein angeblich wettbewerbswidriges Verhalten (Missbrauch einer marktbeherrschenden Stellung) eines Konzerns. Die Klägerinnen 2 und 3 sind hundertprozentige Töchter der Klägerin 1 und werden von dieser kontrolliert. Wie die Vorinstanz zutreffend ausführte, enthält das Lugano-Übereinkommen keine expliziten Bestimmungen für Konzernsachverhalte, weshalb die üblichen Gerichtsstände und u.a. auch Art. 5 Ziff. 3 LugÜ zur Anwendung kommen (ROLAND VON BÜREN, Der Konzern, in: Handelsrecht, SPR Bd. VIII/6, 2. Aufl. 2005, S. 572 und bei Fn. 45). Im späteren bereits zitierten Urteil flyLAL , in welchem ebenfalls zwei nicht konzernmässig verbundenen Gesellschaften ein komplexes wettbewerbswidriges Zusammenwirken vorgeworfen wurde, unterschied der EuGH zwei mögliche Handlungsorte in Abhängigkeit von den für den Schaden ursächlichen Handlungen. Handlungsort könne einerseits der Ort des Abschlusses einer gegen Art. 101 der konsolidierten Fassung des Vertrages über die Arbeitsweise der Europäischen Union (AEUV; ABl. C 326 vom 26. Oktober 2012 S. 47 ff.) verstossenden Vereinbarung sein (Urteil flyLAL , Randnrn. 49 f. und 57 mit Hinweis auf das Urteil CDC Hydrogen Peroxide , Randnr. 50). Bestehe andererseits keine solche Vereinbarung, sondern bestehe das für den Schaden ursächliche Geschehen in der missbräuchlichen Ausnutzung einer marktbeherrschenden Stellung im Sinn von Art. 102 AEUV, also in der Verwirklichung dieser Ausnutzung, komme es auf die zur praktischen Umsetzung vorgenommenen Handlungen an (Urteil flyLAL , Randnrn. 52 und 57). Zeige sich dabei, dass die den angeblichen Schädigern vorgeworfenen Verhaltensweisen Teil einer gemeinsamen Strategie gewesen seien, wäre dasjenige Geschehnis zu ermitteln, dem für die Umsetzung dieser Strategie in einer Kette von Ereignissen eine besonders grosse Bedeutung zukomme (Urteil flyLAL , Randnr. 53).</w:t>
      </w:r>
    </w:p>
    <w:p>
      <w:r>
        <w:rPr>
          <w:b/>
        </w:rPr>
        <w:t>E. 7.2.2</w:t>
      </w:r>
    </w:p>
    <w:p>
      <w:r>
        <w:t>Eine Vereinbarung zwischen den drei Konzerngesellschaften im Sinn der Urteile CDC Hydrogen Peroxide und flyLAL liegt hier nicht vor. Denn Vereinbarung im Sinn von Art. 101 AEUV ist im zivilrechtlichen Sinn zu verstehen. Es ist somit ein zweiseitiges oder mehrseitiges Rechtsgeschäft, das durch die Abgabe von Willenserklärungen zustande kommt. Das entscheidende Kriterium ist, dass BGE 145 III 303 S. 314 sich die Vertragspartner gegenseitig verpflichten und binden wollen. Eine Vereinbarung unter Konzerngesellschaften fällt nicht darunter, wenn die Tochtergesellschaften ihr Marktverhalten nicht autonom bestimmen können (sog. Konzernprivileg), denn in diesem Fall stehen die an sich rechtlich selbstständigen Gesellschaften nicht im Wettbewerb miteinander und kann der Wettbewerb daher auch durch Vereinbarungen zwischen ihnen nicht eingeschränkt werden (INGO BRINKER, in: EU-Kommentar, Jürgen Schwarze und andere [Hrsg.], 4. Aufl. 2019, N. 37 und 58 zu Art. 101 AEUV; HEIKE SCHWEITZER, in: Europäisches Wirtschaftsordnungsrecht, 2015, S. 486 f. § 8 Rz. 76; vgl. ebenso für das schweizerische Kartellrecht: ROGER ZÄCH, Verhaltensweisen marktbeherrschender Unternehmen, in: Kartellrecht, SIWR Bd. V/2, 2002, S. 183).</w:t>
      </w:r>
    </w:p>
    <w:p>
      <w:r>
        <w:rPr>
          <w:b/>
        </w:rPr>
        <w:t>E. 7.2.3</w:t>
      </w:r>
    </w:p>
    <w:p>
      <w:r>
        <w:t>Vorliegend wird es bei der materiellen Beurteilung (zur Abgrenzung gegenüber der Prüfung der Zuständigkeit vgl. E. 7.1 hiervor) darum gehen, ob die Klägerinnen 2 und 3 zusammen mit ihrer Muttergesellschaft eine marktbeherrschende Stellung innehaben und diese durch die Nichtbelieferung der Beklagten im Sinn von Art. 102 AEUV (bzw. des nach Darstellung der Parteien parallelen englischen Kartellrechts) missbraucht haben, wovon denn auch die Vorinstanz ausging und worauf die Beklagte selber verweist. Als sog. kollektive Marktbeherrschung im Sinn von Art. 102 AEUV wird denn auch namentlich das Konzernverhältnis erwähnt (BRINKER, a.a.O., N. 14 zu Art. 102 AEUV; PETER-CHRISTIAN MÜLLER-GRAFF, in: Europäisches Unionsrecht, Vedder/Heintschel von Heinegg [Hrsg.], 2. Aufl. 2018, N. 10 zu Art. 102 AEUV; EILMANSBERGER/KRUIS, in: EUV/AEUV, Streinz [Hrsg.], 3. Aufl. 2018, N. 15 zu Art. 102 AEUV). Durch die Auslegung des Unternehmensbegriffs im Kartellverwaltungsrecht werden die diesen Vorschriften unterworfenen Tätigkeiten bestimmt. Davon zu unterscheiden ist die Frage, welchem Rechtsträger im Einzelnen der Kartellrechtsverstoss zuzurechnen ist. Solche Zurechnungsfragen stellen sich vor allem bei Konzernen (EILMANSBERGER/KRUIS, a.a.O., N. 36 vor Art. 101 AEUV). Zivilprozessual besteht die Komplikation darin - so auch hier -, dass einerseits mehrere rechtlich selbstständige Personen handelten und dass andererseits das vorgeworfene Ausnützen einer marktbeherrschenden Stellung zusammengesetzte, von gegenseitigen Abhängigkeiten geprägte Handlungen beinhaltet. Vorliegend sind dies der Beschluss, die marktbeherrschende Stellung auszunützen und die anschliessende Mitteilung und Durchführung des Lieferstopps. Diesbezüglich lässt sich entsprechend den zitierten Ausführungen des EuGH im Urteil BGE 145 III 303 S. 315 flyLAL , Randnr. 53, sagen, die den angeblichen Schädigern vorgeworfenen Verhaltensweisen seien Teil einer gemeinsamen Strategie - die Strategie der Tochtergesellschaft ist im Konzern Teil der Gruppenstrategie (PETER BÖCKLI, Schweizer Aktienrecht, 4. Aufl. 2009, S. 1258 und 1268 § 11 Rz. 280 [ii] und 323). Es ist somitjenes Geschehnis zu bestimmen, dem für die Umsetzung dieser Strategie in einer Kette von Ereignissen eine besonders grosse Bedeutung zukommt, womit verschiedene Handlungsorte vermieden werden. Damit ist der EuGH den Ausführungen des Generalanwalts gefolgt. Dieser legte unter dem Titel "Kausalität für die Zwecke der Zuständigkeit bei Fällen mit komplexen Sachverhalten" dar, dass bei einer Kette von Ereignissen grundsätzlich alle diese im Sinn der tatsächlichen Kausalität notwendig seien und daher ursächlich für den Eintritt des Schadens. Ein bestimmtes Geschehen als relevant für die Zwecke der Bestimmung der Zuständigkeit zu betrachten, verhindere aber, dass mehrere Gerichtsstände entstünden. Idealerweise sollte deshalb ein einziges Geschehen für die Bestimmung der Zuständigkeit herangezogen werden (Schlussanträge des Generalanwalts vom 28. Februar 2018 C-27/17 flyLAL , Randnrn. 93-97). Zentrale Handlung ist hier der Beschluss der Erweiterten Konzernleitung in Biel. Denn Handlungsort ist der Ort der für das folgende Geschehen massgeblichen Entscheidung bzw. Aktion (WULF-HENNING ROTH, Der europäische Deliktsgerichtsstand in Kartellstreitigkeiten, in: Festschrift für Eberhard Schilken zum 70. Geburtstag, 2015, S. 427 ff., 430 f.). Hierin unterscheiden sich die konkreten Umstände auch von jenen, die der EuGH im Verfahren flyLAL zu beurteilen hatte. Dort war einerseits eine wettbewerbswidrige Vereinbarung (Art. 101 AEUV) zwischen dem Flughafen Riga und der Air Baltic behauptet worden, womit Letzterer bessere Bedingungen eingeräumt worden seien; anderseits habe Air Baltic selbstständig Kampfpreise festgesetzt (Art. 102 AEUV) und so die Klägerin (flyLAL-Lithuanian Airlines) aus dem Markt verdrängt (Urteil flyLAL , Randnr. 47 i.V.m. 57). Hier haben die Klägerinnen 2 und 3 offensichtlich nicht in diesem Sinn selbstständig über die zu treffende Massnahme (Lieferstopps etc.) entschieden und sie durchgeführt. Vielmehr ist die Mitteilung des Lieferstopps blosse Ausführung der beschlossenen Gruppenstrategie. Die beschlossene Gruppenstrategie stellt auch nicht eine blosse Vorbereitungshandlung dar, sondern bildet vielmehr die zentrale und grundlegende Handlung für die gruppenweite Einführung des selektiven Vertriebssystems. Würde man BGE 145 III 303 S. 316 nicht auf den Strategieentscheid als zentrale Handlung abstellen, sondern auf dessen Umsetzung in den verschiedenen Tochtergesellschaften, sähe man sich vor das Problem gestellt, dass die "Umsetzung" eine Vielzahl von unterschiedlichen Handlungen beinhalten kann. Neben der blossen Mitteilung, nicht mehr zu liefern, dürfte zum Beispiel auch eine rechtliche Begleitung notwendig sein, was allenfalls durch den Rechtsdienst der Mutter zu leisten ist. Daraus folgt, dass es entgegen der Vorinstanz nicht darauf ankommen kann, ob Vertreter der Tochtergesellschaften als Mitglieder der Erweiterten Konzernleitung bei der Beschlussfassung in Biel anwesend waren und mitgewirkt haben und - was bei einer von der Konzernstruktur abstrahierenden Betrachtungsweise wohl vorausgesetzt werden müsste - anschliessend das formelle Einverständnis des jeweiligen Verwaltungsrats der Klägerinnen 2 und 3 bzw. der jeweiligen Geschäftsleitung mit der von der Konzernleitung beschlossenen Strategie mitgeteilt haben. Dies würde auf eine "formalistische Ritualhandlung ohne Inhalt" (BÖCKLI, a.a.O., S. 1252 § 11 Rz. 256) hinauslaufen. Biel ist daher auch Handlungsort für die Klägerinnen 2 und 3.</w:t>
      </w:r>
    </w:p>
    <w:p>
      <w:r>
        <w:rPr>
          <w:b/>
        </w:rPr>
        <w:t>E. 7.2.4</w:t>
      </w:r>
    </w:p>
    <w:p>
      <w:r>
        <w:t>Besteht ein internationaler und örtlicher Deliktsgerichtsstand in Biel gemäss Art. 5 Ziff. 3 LugÜ auch für die Klägerinnen 2 und 3, können diese in Biel eine negative Feststellungsklage einreichen (vgl. hiervor E. 4.1.2 und 4.2.3). Somit ist auch die Zuständigkeit der Vorinstanz für die negative Feststellungsklage der Klägerinnen 2 und 3 gegeben. Aus diesem Grund wies im Übrigen auch der Generalanwalt im Verfahren CDC Hydrogen Peroxide darauf hin, dass im Fall, dass der Gerichtshof - wie er es dann getan hat - anerkennen würde, dass nach Art. 5 Nr. 3 EuGVVO eine Vielzahl von Gerichtsständen bei Kartellabsprachen möglich wären, er damit Urhebern einer Wettbewerbsverletzung ermöglichen würde, entsprechend dem Urteil Folien Fischer und Fofitec an allen diesen Gerichtsständen auch negative Feststellungsklagen einzuleiten (Schlussanträge des Generalanwalts vom 11. Dezember 2014 C-352/13 CDC Hydrogen Peroxide , Randnr. 51). Der Vorwurf der Beklagten an die Klägerinnen, mit der Einführung eines selektiven Vertriebssystems ein wettbewerbswidriges Verhalten beschlossen und durchgeführt zu haben, trifft sowohl die Klägerin 1 als auch ihre Tochtergesellschaften. Er gründet mithin insbesondere in deren Zusammenwirken. Vor diesem Hintergrund muss es, mit dem Ziel widersprüchliche Urteile bzw. Doppelspurigkeiten zu vermeiden, den Klägerinnen auch möglich sein, gemeinsam eine negative Feststellungsklage an BGE 145 III 303 S. 317 demselben zentralen Handlungsort - nämlich dem Ort des Strategieentscheids - geltend zu machen. Die Beschwerde im Verfahren 4A_448/2018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